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cego tj. na potrzeby przedmiotowego postępowania w zakresie pkt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cego tj. na potrzeby przedmiotowego postępowania w zakresie pkt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E31C9F" w:rsidP="007F684B">
      <w:pPr>
        <w:jc w:val="both"/>
        <w:rPr>
          <w:rFonts w:ascii="Tahoma" w:hAnsi="Tahoma" w:cs="Tahoma"/>
          <w:b/>
          <w:sz w:val="18"/>
          <w:szCs w:val="18"/>
        </w:rPr>
      </w:pPr>
      <w:hyperlink r:id="rId5"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12DE9" w:rsidP="00612DE9">
      <w:pPr>
        <w:pStyle w:val="Akapitzlist"/>
        <w:jc w:val="both"/>
        <w:rPr>
          <w:rFonts w:ascii="Arial" w:hAnsi="Arial" w:cs="Arial"/>
          <w:sz w:val="18"/>
          <w:szCs w:val="18"/>
        </w:rPr>
      </w:pPr>
      <w:r>
        <w:rPr>
          <w:rFonts w:ascii="Arial" w:hAnsi="Arial" w:cs="Arial"/>
          <w:sz w:val="18"/>
          <w:szCs w:val="18"/>
        </w:rPr>
        <w:t>W tej sekcji należy podać im Iona i nazwiska oraz adresy osób upoważnionych do reprezentowania wykonawcy na potrzeby postępowania o udzielenie zamówienia, jak również zakres udzielonych pełnomocnictw.</w:t>
      </w:r>
    </w:p>
    <w:p w:rsidR="00612DE9" w:rsidRDefault="00EA30F9" w:rsidP="00612DE9">
      <w:pPr>
        <w:pStyle w:val="Akapitzlist"/>
        <w:jc w:val="both"/>
        <w:rPr>
          <w:rFonts w:ascii="Arial" w:hAnsi="Arial" w:cs="Arial"/>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do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lastRenderedPageBreak/>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art. 22 ust. 1 Pzp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E31C9F">
        <w:rPr>
          <w:rFonts w:ascii="Arial" w:hAnsi="Arial" w:cs="Arial"/>
          <w:sz w:val="18"/>
          <w:szCs w:val="18"/>
        </w:rPr>
        <w:fldChar w:fldCharType="begin"/>
      </w:r>
      <w:r>
        <w:rPr>
          <w:rFonts w:ascii="Arial" w:hAnsi="Arial" w:cs="Arial"/>
          <w:sz w:val="18"/>
          <w:szCs w:val="18"/>
        </w:rPr>
        <w:instrText xml:space="preserve"> LISTNUM </w:instrText>
      </w:r>
      <w:r w:rsidR="00E31C9F">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w myśl art. 25 a ust. 3 ustawy Pzp ma obowiązek przedstawić – dla każdego z podmiotów, których to dotyczy – odrębny formularz JEDZ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i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p>
    <w:p w:rsidR="00B57C53" w:rsidRDefault="00B57C53" w:rsidP="00EA30F9">
      <w:pPr>
        <w:ind w:left="708"/>
        <w:jc w:val="both"/>
        <w:rPr>
          <w:rFonts w:ascii="Arial" w:hAnsi="Arial" w:cs="Arial"/>
          <w:sz w:val="18"/>
          <w:szCs w:val="18"/>
        </w:rPr>
      </w:pPr>
      <w:r>
        <w:rPr>
          <w:rFonts w:ascii="Arial" w:hAnsi="Arial" w:cs="Arial"/>
          <w:sz w:val="18"/>
          <w:szCs w:val="18"/>
        </w:rPr>
        <w:t xml:space="preserve">Nie dotyczy to jednak zasobów osobowych, którymi wykonawca dysponuje w sposób bezpośredni,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DA470B" w:rsidRPr="00EA30F9" w:rsidRDefault="00DA470B" w:rsidP="00EA30F9">
      <w:pPr>
        <w:ind w:left="708"/>
        <w:jc w:val="both"/>
        <w:rPr>
          <w:rFonts w:ascii="Arial" w:hAnsi="Arial" w:cs="Arial"/>
          <w:sz w:val="18"/>
          <w:szCs w:val="18"/>
        </w:rPr>
      </w:pP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t>OPCJA 2:</w:t>
      </w:r>
      <w:r>
        <w:rPr>
          <w:rFonts w:ascii="Tahoma" w:hAnsi="Tahoma" w:cs="Tahoma"/>
          <w:sz w:val="18"/>
          <w:szCs w:val="18"/>
        </w:rPr>
        <w:t xml:space="preserve">  Wykonawca może zlecić wykonanie zamówienia bądź jego wyodrębnionej części podwykonawcy chyba, że zamawiający dokonał stosownego zastrzeżenia zgodnie z art. 36 a ust. 1 ustawy Pzp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W sytuacji, gdy wskazane zastrzeżenie nie zostało dokonane przez zamawiającego a wykonawca zamierza zlecić wykonanie całości bądź części zamówienia podwykonawcom, zakreśla on w formularzu odpowiedź „TAK”, wskazując jednocześnie wykaz proponowanych przez siebie podwykonawców i identyfikując ich. Informacje o podwykonawcach służą podmiotowej weryfikacji wykonawców. Zgodnie z art. 25a ust. 5 ustawy Pzp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A93415">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Default="007F684B" w:rsidP="007F684B">
      <w:pPr>
        <w:ind w:left="360"/>
        <w:jc w:val="both"/>
        <w:rPr>
          <w:rFonts w:ascii="Tahoma" w:hAnsi="Tahoma" w:cs="Tahoma"/>
          <w:b/>
          <w:sz w:val="18"/>
          <w:szCs w:val="18"/>
        </w:rPr>
      </w:pPr>
      <w:r w:rsidRPr="00A93415">
        <w:rPr>
          <w:rFonts w:ascii="Tahoma" w:hAnsi="Tahoma" w:cs="Tahoma"/>
          <w:b/>
          <w:sz w:val="18"/>
          <w:szCs w:val="18"/>
        </w:rPr>
        <w:t xml:space="preserve">  </w:t>
      </w: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lastRenderedPageBreak/>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pkt 15 Pzp </w:t>
      </w:r>
      <w:r w:rsidRPr="00F83277">
        <w:rPr>
          <w:rFonts w:ascii="Tahoma" w:hAnsi="Tahoma" w:cs="Tahoma"/>
          <w:b/>
          <w:sz w:val="18"/>
          <w:szCs w:val="18"/>
        </w:rPr>
        <w:t>lub jeżeli dotyczy</w:t>
      </w:r>
      <w:r>
        <w:rPr>
          <w:rFonts w:ascii="Tahoma" w:hAnsi="Tahoma" w:cs="Tahoma"/>
          <w:sz w:val="18"/>
          <w:szCs w:val="18"/>
        </w:rPr>
        <w:t xml:space="preserve"> fakultatywnej  - z art. 24 ust. 5 pkt 8 Pzp.</w:t>
      </w:r>
    </w:p>
    <w:p w:rsidR="00F83277" w:rsidRPr="00F83277" w:rsidRDefault="00F83277" w:rsidP="00F83277">
      <w:pPr>
        <w:ind w:left="720"/>
        <w:jc w:val="both"/>
        <w:rPr>
          <w:rFonts w:ascii="Tahoma" w:hAnsi="Tahoma" w:cs="Tahoma"/>
          <w:b/>
          <w:sz w:val="18"/>
          <w:szCs w:val="18"/>
        </w:rPr>
      </w:pPr>
    </w:p>
    <w:p w:rsidR="007F684B" w:rsidRPr="00516E15"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Pr="004751E1" w:rsidRDefault="007F684B" w:rsidP="007F684B">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7F684B" w:rsidRPr="00516E15" w:rsidRDefault="007F684B" w:rsidP="007F684B">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Pr="0072428F"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 xml:space="preserve">wykluczenia wykonawcy w przypadku skazania za: (-) przestępstwa przeciwko wiarygodności dokumentów wymienione w art. 270 – 277 Kodeksu karnego; (-) przestępstwa przeciwko mieniu z art. </w:t>
      </w:r>
      <w:r w:rsidRPr="0072428F">
        <w:rPr>
          <w:rFonts w:ascii="Tahoma" w:hAnsi="Tahoma" w:cs="Tahoma"/>
          <w:sz w:val="18"/>
          <w:szCs w:val="18"/>
        </w:rPr>
        <w:lastRenderedPageBreak/>
        <w:t>278 – 295 Kodeksu karnego; (-) przestępstwa przeciwko obrotowi gospodarczemu wymienione w przepisach art. 296 – 307 Kodeksu karnego (z wyjątkiem art. 299 (pranie pieniędzy)).</w:t>
      </w: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FE02BE" w:rsidP="00FE02BE">
      <w:pPr>
        <w:spacing w:after="120"/>
        <w:ind w:left="360"/>
        <w:jc w:val="both"/>
        <w:rPr>
          <w:rFonts w:ascii="Tahoma" w:hAnsi="Tahoma" w:cs="Tahoma"/>
          <w:strike/>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Pzp). Choc ustawa Pzp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Pzp.</w:t>
      </w:r>
    </w:p>
    <w:p w:rsidR="00FE02BE" w:rsidRPr="0072428F" w:rsidRDefault="00FE02BE" w:rsidP="00FE02BE">
      <w:pPr>
        <w:spacing w:after="120"/>
        <w:jc w:val="both"/>
        <w:rPr>
          <w:rFonts w:ascii="Tahoma" w:hAnsi="Tahoma" w:cs="Tahoma"/>
          <w:strike/>
          <w:sz w:val="18"/>
          <w:szCs w:val="18"/>
        </w:rPr>
      </w:pPr>
    </w:p>
    <w:p w:rsidR="007F684B" w:rsidRPr="0072428F"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7F684B" w:rsidRPr="007B1CD7" w:rsidRDefault="007F684B" w:rsidP="007F684B">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7F684B" w:rsidRPr="00572149" w:rsidRDefault="007F684B" w:rsidP="007F684B">
      <w:pPr>
        <w:numPr>
          <w:ilvl w:val="0"/>
          <w:numId w:val="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7F684B" w:rsidRPr="00572149"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7F684B" w:rsidRPr="00572149"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Pr="00572149"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00893377">
        <w:rPr>
          <w:rFonts w:ascii="Tahoma" w:hAnsi="Tahoma" w:cs="Tahoma"/>
          <w:sz w:val="18"/>
          <w:szCs w:val="18"/>
        </w:rPr>
        <w:t xml:space="preserve">pkt </w:t>
      </w:r>
      <w:r w:rsidR="00925FB8">
        <w:rPr>
          <w:rFonts w:ascii="Tahoma" w:hAnsi="Tahoma" w:cs="Tahoma"/>
          <w:sz w:val="18"/>
          <w:szCs w:val="18"/>
        </w:rPr>
        <w:t xml:space="preserve">8.2.3/ (rozdział 8 ) </w:t>
      </w:r>
      <w:r w:rsidR="00893377">
        <w:rPr>
          <w:rFonts w:ascii="Tahoma" w:hAnsi="Tahoma" w:cs="Tahoma"/>
          <w:sz w:val="18"/>
          <w:szCs w:val="18"/>
        </w:rPr>
        <w:t xml:space="preserve"> </w:t>
      </w:r>
      <w:r>
        <w:rPr>
          <w:rFonts w:ascii="Tahoma" w:hAnsi="Tahoma" w:cs="Tahoma"/>
          <w:sz w:val="18"/>
          <w:szCs w:val="18"/>
        </w:rPr>
        <w:t xml:space="preserve"> SIWZ.</w:t>
      </w:r>
    </w:p>
    <w:p w:rsidR="007F684B" w:rsidRDefault="007F684B" w:rsidP="007F684B">
      <w:pPr>
        <w:jc w:val="both"/>
        <w:rPr>
          <w:rFonts w:ascii="Tahoma" w:hAnsi="Tahoma" w:cs="Tahoma"/>
          <w:b/>
          <w:sz w:val="18"/>
          <w:szCs w:val="18"/>
        </w:rPr>
      </w:pPr>
    </w:p>
    <w:p w:rsidR="007F684B" w:rsidRDefault="007F684B" w:rsidP="007F684B">
      <w:pPr>
        <w:ind w:left="1080"/>
        <w:jc w:val="both"/>
        <w:rPr>
          <w:rFonts w:ascii="Tahoma" w:hAnsi="Tahoma" w:cs="Tahoma"/>
          <w:b/>
          <w:sz w:val="18"/>
          <w:szCs w:val="18"/>
        </w:rPr>
      </w:pP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sectPr w:rsidR="00203107" w:rsidSect="0020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684B"/>
    <w:rsid w:val="00186B0E"/>
    <w:rsid w:val="00203107"/>
    <w:rsid w:val="002B4906"/>
    <w:rsid w:val="00612DE9"/>
    <w:rsid w:val="007F684B"/>
    <w:rsid w:val="00856F23"/>
    <w:rsid w:val="00893377"/>
    <w:rsid w:val="008976CA"/>
    <w:rsid w:val="008D64DB"/>
    <w:rsid w:val="008F101E"/>
    <w:rsid w:val="00925FB8"/>
    <w:rsid w:val="009763BB"/>
    <w:rsid w:val="00A93415"/>
    <w:rsid w:val="00AB529A"/>
    <w:rsid w:val="00AE6A48"/>
    <w:rsid w:val="00B57C53"/>
    <w:rsid w:val="00B65056"/>
    <w:rsid w:val="00BC2A25"/>
    <w:rsid w:val="00BC5929"/>
    <w:rsid w:val="00C14F2A"/>
    <w:rsid w:val="00CB39F4"/>
    <w:rsid w:val="00DA470B"/>
    <w:rsid w:val="00E31C9F"/>
    <w:rsid w:val="00EA30F9"/>
    <w:rsid w:val="00EC39E5"/>
    <w:rsid w:val="00F049E0"/>
    <w:rsid w:val="00F5669A"/>
    <w:rsid w:val="00F83277"/>
    <w:rsid w:val="00FE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3404</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2016-09-14T11:01:00Z</cp:lastPrinted>
  <dcterms:created xsi:type="dcterms:W3CDTF">2016-09-12T10:03:00Z</dcterms:created>
  <dcterms:modified xsi:type="dcterms:W3CDTF">2016-10-12T09:20:00Z</dcterms:modified>
</cp:coreProperties>
</file>